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93CA" w14:textId="77777777" w:rsidR="00736776" w:rsidRDefault="00736776" w:rsidP="00BE6856">
      <w:pPr>
        <w:pStyle w:val="En-tte"/>
      </w:pPr>
      <w:bookmarkStart w:id="0" w:name="_Toc458071803"/>
    </w:p>
    <w:p w14:paraId="4A5AB551" w14:textId="77777777" w:rsidR="00736776" w:rsidRDefault="00736776" w:rsidP="00BE6856">
      <w:pPr>
        <w:pStyle w:val="En-tte"/>
      </w:pPr>
    </w:p>
    <w:p w14:paraId="5FC39EA7" w14:textId="75E76D58" w:rsidR="00BE6856" w:rsidRDefault="00BE6856" w:rsidP="00BE6856">
      <w:pPr>
        <w:pStyle w:val="En-tte"/>
      </w:pPr>
      <w:r>
        <w:t>Cours interentreprises, bloc 3</w:t>
      </w:r>
    </w:p>
    <w:p w14:paraId="6EAA6753" w14:textId="1443B506" w:rsidR="00BE6856" w:rsidRPr="00B061B3" w:rsidRDefault="00BE6856" w:rsidP="00BE6856">
      <w:pPr>
        <w:pStyle w:val="En-tte"/>
      </w:pPr>
      <w:r>
        <w:t>Journée de présence 8 – situation de travail 8 : « </w:t>
      </w:r>
      <w:r w:rsidR="00245DD9">
        <w:t>R</w:t>
      </w:r>
      <w:r>
        <w:t xml:space="preserve">édiger des </w:t>
      </w:r>
      <w:r w:rsidR="001B1D45">
        <w:t xml:space="preserve">dispositions </w:t>
      </w:r>
      <w:r>
        <w:t>et décisions », situation de travail 9 : « </w:t>
      </w:r>
      <w:r w:rsidR="00245DD9">
        <w:t>E</w:t>
      </w:r>
      <w:r>
        <w:t xml:space="preserve">xaminer les </w:t>
      </w:r>
      <w:r w:rsidR="001B1D45">
        <w:t xml:space="preserve">entrées </w:t>
      </w:r>
      <w:r>
        <w:t>de</w:t>
      </w:r>
      <w:r w:rsidR="001B1D45">
        <w:t>s</w:t>
      </w:r>
      <w:r>
        <w:t xml:space="preserve"> voie</w:t>
      </w:r>
      <w:r w:rsidR="001B1D45">
        <w:t>s</w:t>
      </w:r>
      <w:r>
        <w:t xml:space="preserve"> de droit » et situation de travail 12 : « </w:t>
      </w:r>
      <w:r w:rsidR="00245DD9">
        <w:t>R</w:t>
      </w:r>
      <w:r>
        <w:t>édiger des notes de dossier et des procès-verbaux »</w:t>
      </w:r>
    </w:p>
    <w:p w14:paraId="03F3EAA8" w14:textId="33844B9B" w:rsidR="00310E6A" w:rsidRDefault="004A1D7C" w:rsidP="003F0023">
      <w:pPr>
        <w:pStyle w:val="Titre"/>
      </w:pPr>
      <w:bookmarkStart w:id="1" w:name="_Hlk121747975"/>
      <w:bookmarkEnd w:id="0"/>
      <w:r>
        <w:t>Voies de droit et bases légales</w:t>
      </w:r>
    </w:p>
    <w:bookmarkEnd w:id="1"/>
    <w:p w14:paraId="5AB24F0B" w14:textId="0927CBCF" w:rsidR="003F0023" w:rsidRDefault="004A1D7C" w:rsidP="003F0023">
      <w:pPr>
        <w:pStyle w:val="Titre1"/>
      </w:pPr>
      <w:r>
        <w:t>Articles de loi « Analyse »</w:t>
      </w:r>
    </w:p>
    <w:p w14:paraId="058F4FD6" w14:textId="6BABA409" w:rsidR="003F0023" w:rsidRDefault="003F0023" w:rsidP="003F00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1D7C" w14:paraId="2E6CBD3C" w14:textId="77777777" w:rsidTr="004A1D7C">
        <w:tc>
          <w:tcPr>
            <w:tcW w:w="9344" w:type="dxa"/>
          </w:tcPr>
          <w:p w14:paraId="21B5C7A5" w14:textId="77777777" w:rsidR="004A1D7C" w:rsidRPr="004A1D7C" w:rsidRDefault="004A1D7C" w:rsidP="004A1D7C">
            <w:pPr>
              <w:rPr>
                <w:rStyle w:val="lev"/>
                <w:rFonts w:asciiTheme="minorHAnsi" w:hAnsiTheme="minorHAnsi" w:cstheme="minorHAnsi"/>
                <w:szCs w:val="24"/>
              </w:rPr>
            </w:pPr>
            <w:r>
              <w:rPr>
                <w:rStyle w:val="lev"/>
                <w:rFonts w:asciiTheme="minorHAnsi" w:hAnsiTheme="minorHAnsi"/>
              </w:rPr>
              <w:t>Art. 30 Voies de droit</w:t>
            </w:r>
          </w:p>
          <w:p w14:paraId="55B8D7BC" w14:textId="43A75ABA" w:rsidR="004A1D7C" w:rsidRPr="004A1D7C" w:rsidRDefault="004A1D7C" w:rsidP="00F3359F">
            <w:pPr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 xml:space="preserve">1 </w:t>
            </w:r>
            <w:r>
              <w:rPr>
                <w:rStyle w:val="lev"/>
                <w:rFonts w:asciiTheme="minorHAnsi" w:hAnsiTheme="minorHAnsi"/>
                <w:b w:val="0"/>
              </w:rPr>
              <w:t>En matière de droit de cité, les décisions du service communal compétent peuvent faire l’objet d’un recours auprès du Conseil d’</w:t>
            </w:r>
            <w:r w:rsidR="001B1D45">
              <w:rPr>
                <w:rStyle w:val="lev"/>
                <w:rFonts w:asciiTheme="minorHAnsi" w:hAnsiTheme="minorHAnsi"/>
                <w:b w:val="0"/>
              </w:rPr>
              <w:t>État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et les décisions du département et du Conseil d’</w:t>
            </w:r>
            <w:r w:rsidR="001B1D45">
              <w:rPr>
                <w:rStyle w:val="lev"/>
                <w:rFonts w:asciiTheme="minorHAnsi" w:hAnsiTheme="minorHAnsi"/>
                <w:b w:val="0"/>
              </w:rPr>
              <w:t>État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auprès du Tribunal administratif. Les décisions du Grand Conseil ou de sa commission peuvent faire l’objet d’un recours devant le Tribunal administratif.</w:t>
            </w:r>
          </w:p>
          <w:p w14:paraId="53599317" w14:textId="06506113" w:rsidR="004A1D7C" w:rsidRDefault="004A1D7C" w:rsidP="00F3359F">
            <w:pPr>
              <w:spacing w:after="120"/>
              <w:jc w:val="both"/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>2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En cas de recours contre des décisions ayant trait au droit de cité, l’usage du pouvoir discrétionnaire n’est pas examiné.</w:t>
            </w:r>
          </w:p>
        </w:tc>
      </w:tr>
    </w:tbl>
    <w:p w14:paraId="32C0CC94" w14:textId="77777777" w:rsidR="004A1D7C" w:rsidRPr="003F0023" w:rsidRDefault="004A1D7C" w:rsidP="003F00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1D7C" w14:paraId="37D3377E" w14:textId="77777777" w:rsidTr="004A1D7C">
        <w:tc>
          <w:tcPr>
            <w:tcW w:w="9344" w:type="dxa"/>
          </w:tcPr>
          <w:p w14:paraId="14CF883B" w14:textId="77777777" w:rsidR="004A1D7C" w:rsidRPr="004A1D7C" w:rsidRDefault="004A1D7C" w:rsidP="004A1D7C">
            <w:pPr>
              <w:rPr>
                <w:rStyle w:val="lev"/>
                <w:rFonts w:asciiTheme="minorHAnsi" w:hAnsiTheme="minorHAnsi" w:cstheme="minorHAnsi"/>
                <w:szCs w:val="24"/>
              </w:rPr>
            </w:pPr>
            <w:r>
              <w:rPr>
                <w:rStyle w:val="lev"/>
                <w:rFonts w:asciiTheme="minorHAnsi" w:hAnsiTheme="minorHAnsi"/>
              </w:rPr>
              <w:t>Art. 61 Voies de droit</w:t>
            </w:r>
          </w:p>
          <w:p w14:paraId="78A9EC9D" w14:textId="761120AB" w:rsidR="004A1D7C" w:rsidRPr="004A1D7C" w:rsidRDefault="004A1D7C" w:rsidP="00F3359F">
            <w:pPr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 xml:space="preserve">1 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Les décisions du Conseil communal prises en application de la législation sur les constructions peuvent faire l’objet d’un recours auprès du Département </w:t>
            </w:r>
            <w:r w:rsidR="00245DD9">
              <w:rPr>
                <w:rStyle w:val="lev"/>
                <w:rFonts w:asciiTheme="minorHAnsi" w:hAnsiTheme="minorHAnsi"/>
                <w:b w:val="0"/>
              </w:rPr>
              <w:t>des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</w:t>
            </w:r>
            <w:r w:rsidR="00264270">
              <w:rPr>
                <w:rStyle w:val="lev"/>
                <w:rFonts w:asciiTheme="minorHAnsi" w:hAnsiTheme="minorHAnsi"/>
                <w:b w:val="0"/>
              </w:rPr>
              <w:t>construction</w:t>
            </w:r>
            <w:r w:rsidR="00245DD9">
              <w:rPr>
                <w:rStyle w:val="lev"/>
                <w:rFonts w:asciiTheme="minorHAnsi" w:hAnsiTheme="minorHAnsi"/>
                <w:b w:val="0"/>
              </w:rPr>
              <w:t>s</w:t>
            </w:r>
            <w:r>
              <w:rPr>
                <w:rStyle w:val="lev"/>
                <w:rFonts w:asciiTheme="minorHAnsi" w:hAnsiTheme="minorHAnsi"/>
                <w:b w:val="0"/>
              </w:rPr>
              <w:t>, des transports et de l’environnement dans un délai de 30 jours à compter de leur notification, pour autant qu’aucune autre autorité ne soit déclarée compétente.</w:t>
            </w:r>
          </w:p>
          <w:p w14:paraId="29E7312E" w14:textId="0A1F2581" w:rsidR="004A1D7C" w:rsidRPr="004A1D7C" w:rsidRDefault="004A1D7C" w:rsidP="00F3359F">
            <w:pPr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>2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Lorsque la décision du Conseil communal repose sur une décision partielle d’un département et qu’une demande de recours est dirigée contre cette décision partielle, la compétence incombe au Conseil d’</w:t>
            </w:r>
            <w:r w:rsidR="001B1D45">
              <w:rPr>
                <w:rStyle w:val="lev"/>
                <w:rFonts w:asciiTheme="minorHAnsi" w:hAnsiTheme="minorHAnsi"/>
                <w:b w:val="0"/>
              </w:rPr>
              <w:t>État</w:t>
            </w:r>
            <w:r>
              <w:rPr>
                <w:rStyle w:val="lev"/>
                <w:rFonts w:asciiTheme="minorHAnsi" w:hAnsiTheme="minorHAnsi"/>
                <w:b w:val="0"/>
              </w:rPr>
              <w:t>.</w:t>
            </w:r>
          </w:p>
          <w:p w14:paraId="5554F8A2" w14:textId="67EE7032" w:rsidR="004A1D7C" w:rsidRDefault="004A1D7C" w:rsidP="00F3359F">
            <w:pPr>
              <w:spacing w:after="120"/>
              <w:jc w:val="both"/>
              <w:rPr>
                <w:rStyle w:val="lev"/>
                <w:rFonts w:asciiTheme="minorHAnsi" w:hAnsiTheme="minorHAnsi" w:cstheme="minorHAnsi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>3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La décision sur recours peut faire l’objet d’un recours devant le Tribunal administratif. Quiconque n’a pas participé à la procédure de recours en formulant ses propres demandes ne peut pas contester la décision sur recours.</w:t>
            </w:r>
          </w:p>
        </w:tc>
      </w:tr>
    </w:tbl>
    <w:p w14:paraId="2847F5C1" w14:textId="044B70DD" w:rsidR="004A1D7C" w:rsidRDefault="004A1D7C" w:rsidP="004A1D7C">
      <w:pPr>
        <w:rPr>
          <w:rStyle w:val="lev"/>
          <w:rFonts w:asciiTheme="minorHAnsi" w:hAnsiTheme="minorHAnsi" w:cstheme="minorHAnsi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1D7C" w14:paraId="740E1FB1" w14:textId="77777777" w:rsidTr="004A1D7C">
        <w:tc>
          <w:tcPr>
            <w:tcW w:w="9344" w:type="dxa"/>
          </w:tcPr>
          <w:p w14:paraId="0F6FADF7" w14:textId="77777777" w:rsidR="004A1D7C" w:rsidRPr="004A1D7C" w:rsidRDefault="004A1D7C" w:rsidP="004A1D7C">
            <w:pPr>
              <w:rPr>
                <w:rStyle w:val="lev"/>
                <w:rFonts w:asciiTheme="minorHAnsi" w:hAnsiTheme="minorHAnsi" w:cstheme="minorHAnsi"/>
                <w:szCs w:val="24"/>
              </w:rPr>
            </w:pPr>
            <w:r>
              <w:rPr>
                <w:rStyle w:val="lev"/>
                <w:rFonts w:asciiTheme="minorHAnsi" w:hAnsiTheme="minorHAnsi"/>
              </w:rPr>
              <w:t>Art. 39a * Instance de recours</w:t>
            </w:r>
          </w:p>
          <w:p w14:paraId="6D190628" w14:textId="4153200E" w:rsidR="004A1D7C" w:rsidRPr="004A1D7C" w:rsidRDefault="004A1D7C" w:rsidP="00F3359F">
            <w:pPr>
              <w:spacing w:after="120"/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 xml:space="preserve">1 </w:t>
            </w:r>
            <w:r>
              <w:rPr>
                <w:rStyle w:val="lev"/>
                <w:rFonts w:asciiTheme="minorHAnsi" w:hAnsiTheme="minorHAnsi"/>
                <w:b w:val="0"/>
              </w:rPr>
              <w:t>Le département compétent selon l’art. 58 al. 1 SPG est le Département de la santé et des affaires sociales.</w:t>
            </w:r>
          </w:p>
        </w:tc>
      </w:tr>
    </w:tbl>
    <w:p w14:paraId="5D3586B4" w14:textId="77777777" w:rsidR="004A1D7C" w:rsidRPr="004A1D7C" w:rsidRDefault="004A1D7C" w:rsidP="004A1D7C">
      <w:pPr>
        <w:rPr>
          <w:rStyle w:val="lev"/>
          <w:rFonts w:asciiTheme="minorHAnsi" w:hAnsiTheme="minorHAnsi" w:cstheme="minorHAnsi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1D7C" w14:paraId="3DDD606E" w14:textId="77777777" w:rsidTr="004A1D7C">
        <w:tc>
          <w:tcPr>
            <w:tcW w:w="9344" w:type="dxa"/>
          </w:tcPr>
          <w:p w14:paraId="32DDB26C" w14:textId="77777777" w:rsidR="004A1D7C" w:rsidRPr="004A1D7C" w:rsidRDefault="004A1D7C" w:rsidP="004A1D7C">
            <w:pPr>
              <w:rPr>
                <w:rStyle w:val="lev"/>
                <w:rFonts w:asciiTheme="minorHAnsi" w:hAnsiTheme="minorHAnsi" w:cstheme="minorHAnsi"/>
                <w:szCs w:val="24"/>
              </w:rPr>
            </w:pPr>
            <w:r>
              <w:rPr>
                <w:rStyle w:val="lev"/>
                <w:rFonts w:asciiTheme="minorHAnsi" w:hAnsiTheme="minorHAnsi"/>
              </w:rPr>
              <w:t>Art. 58 Voies de droit</w:t>
            </w:r>
          </w:p>
          <w:p w14:paraId="7E12A103" w14:textId="2D019686" w:rsidR="004A1D7C" w:rsidRPr="004A1D7C" w:rsidRDefault="004A1D7C" w:rsidP="00F3359F">
            <w:pPr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>1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Les </w:t>
            </w:r>
            <w:r w:rsidR="001B1D45" w:rsidRPr="001B1D45">
              <w:rPr>
                <w:rStyle w:val="lev"/>
                <w:rFonts w:asciiTheme="minorHAnsi" w:hAnsiTheme="minorHAnsi"/>
                <w:b w:val="0"/>
              </w:rPr>
              <w:t>d</w:t>
            </w:r>
            <w:r w:rsidR="001B1D45" w:rsidRPr="00D27076">
              <w:rPr>
                <w:rStyle w:val="lev"/>
                <w:b w:val="0"/>
              </w:rPr>
              <w:t>ispositions</w:t>
            </w:r>
            <w:r w:rsidR="001B1D45">
              <w:rPr>
                <w:rStyle w:val="lev"/>
                <w:rFonts w:asciiTheme="minorHAnsi" w:hAnsiTheme="minorHAnsi"/>
                <w:b w:val="0"/>
              </w:rPr>
              <w:t xml:space="preserve"> </w:t>
            </w:r>
            <w:r>
              <w:rPr>
                <w:rStyle w:val="lev"/>
                <w:rFonts w:asciiTheme="minorHAnsi" w:hAnsiTheme="minorHAnsi"/>
                <w:b w:val="0"/>
              </w:rPr>
              <w:t>et les décisions des autorités sociales peuvent faire l’objet d’un recours auprès du département compétent. *</w:t>
            </w:r>
          </w:p>
          <w:p w14:paraId="2BB7F0BE" w14:textId="77777777" w:rsidR="004A1D7C" w:rsidRPr="004A1D7C" w:rsidRDefault="004A1D7C" w:rsidP="00F3359F">
            <w:pPr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>2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Les décisions du département compétent peuvent faire l’objet d’un recours devant le Tribunal administratif. *</w:t>
            </w:r>
          </w:p>
          <w:p w14:paraId="4A9B7E37" w14:textId="77777777" w:rsidR="004A1D7C" w:rsidRPr="004A1D7C" w:rsidRDefault="004A1D7C" w:rsidP="00F3359F">
            <w:pPr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 xml:space="preserve">2Bis </w:t>
            </w:r>
            <w:r>
              <w:rPr>
                <w:rStyle w:val="lev"/>
                <w:rFonts w:asciiTheme="minorHAnsi" w:hAnsiTheme="minorHAnsi"/>
                <w:b w:val="0"/>
              </w:rPr>
              <w:t>La procédure devant le Tribunal administratif n’est pas soumise à des délais de suspension. *</w:t>
            </w:r>
          </w:p>
          <w:p w14:paraId="4A45F1FA" w14:textId="77777777" w:rsidR="004A1D7C" w:rsidRPr="004A1D7C" w:rsidRDefault="004A1D7C" w:rsidP="00F3359F">
            <w:pPr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>3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Le délai de recours est de 30 jours. *</w:t>
            </w:r>
          </w:p>
          <w:p w14:paraId="27BAA1C9" w14:textId="4290BCB5" w:rsidR="004A1D7C" w:rsidRPr="004A1D7C" w:rsidRDefault="004A1D7C" w:rsidP="00F3359F">
            <w:pPr>
              <w:spacing w:after="120"/>
              <w:jc w:val="both"/>
              <w:rPr>
                <w:rStyle w:val="lev"/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Style w:val="lev"/>
                <w:rFonts w:asciiTheme="minorHAnsi" w:hAnsiTheme="minorHAnsi"/>
                <w:b w:val="0"/>
                <w:vertAlign w:val="superscript"/>
              </w:rPr>
              <w:t>4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 Pour le reste, les dispositions de la loi sur la procédure et la juridiction administratives (loi sur la procédure et la juridiction administrative</w:t>
            </w:r>
            <w:r w:rsidR="00123633">
              <w:rPr>
                <w:rStyle w:val="lev"/>
                <w:rFonts w:asciiTheme="minorHAnsi" w:hAnsiTheme="minorHAnsi"/>
                <w:b w:val="0"/>
              </w:rPr>
              <w:t>s</w:t>
            </w:r>
            <w:r>
              <w:rPr>
                <w:rStyle w:val="lev"/>
                <w:rFonts w:asciiTheme="minorHAnsi" w:hAnsiTheme="minorHAnsi"/>
                <w:b w:val="0"/>
              </w:rPr>
              <w:t xml:space="preserve">, LPJA) du 4 décembre 2007 </w:t>
            </w:r>
            <w:r w:rsidR="00DD0425">
              <w:rPr>
                <w:rStyle w:val="lev"/>
                <w:rFonts w:asciiTheme="minorHAnsi" w:hAnsiTheme="minorHAnsi"/>
                <w:b w:val="0"/>
              </w:rPr>
              <w:t>s’appliquent [</w:t>
            </w:r>
            <w:r>
              <w:rPr>
                <w:rStyle w:val="lev"/>
                <w:rFonts w:asciiTheme="minorHAnsi" w:hAnsiTheme="minorHAnsi"/>
                <w:b w:val="0"/>
              </w:rPr>
              <w:t>8]. *</w:t>
            </w:r>
          </w:p>
        </w:tc>
      </w:tr>
    </w:tbl>
    <w:p w14:paraId="6BE751E4" w14:textId="77777777" w:rsidR="004A1D7C" w:rsidRPr="004A1D7C" w:rsidRDefault="004A1D7C" w:rsidP="001B1D45">
      <w:pPr>
        <w:rPr>
          <w:rStyle w:val="lev"/>
          <w:rFonts w:asciiTheme="minorHAnsi" w:hAnsiTheme="minorHAnsi" w:cstheme="minorHAnsi"/>
          <w:szCs w:val="24"/>
        </w:rPr>
      </w:pPr>
    </w:p>
    <w:sectPr w:rsidR="004A1D7C" w:rsidRPr="004A1D7C" w:rsidSect="002B0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B8EB" w14:textId="77777777" w:rsidR="00E2165C" w:rsidRDefault="00E2165C" w:rsidP="005F2991">
      <w:r>
        <w:separator/>
      </w:r>
    </w:p>
  </w:endnote>
  <w:endnote w:type="continuationSeparator" w:id="0">
    <w:p w14:paraId="2EA866FA" w14:textId="77777777" w:rsidR="00E2165C" w:rsidRDefault="00E2165C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F693" w14:textId="77777777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</w:t>
    </w:r>
    <w:proofErr w:type="spellStart"/>
    <w:r>
      <w:rPr>
        <w:sz w:val="16"/>
      </w:rPr>
      <w:t>FIEn</w:t>
    </w:r>
    <w:proofErr w:type="spellEnd"/>
  </w:p>
  <w:p w14:paraId="52E311C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</w:t>
    </w:r>
    <w:proofErr w:type="spellStart"/>
    <w:r>
      <w:rPr>
        <w:sz w:val="16"/>
      </w:rPr>
      <w:t>Öffentliche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Verwaltung</w:t>
    </w:r>
    <w:proofErr w:type="spellEnd"/>
    <w:r>
      <w:rPr>
        <w:sz w:val="16"/>
      </w:rPr>
      <w:t>/Administration publique/</w:t>
    </w:r>
    <w:proofErr w:type="spellStart"/>
    <w:r>
      <w:rPr>
        <w:sz w:val="16"/>
      </w:rPr>
      <w:t>Amministrazione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pubblica</w:t>
    </w:r>
    <w:proofErr w:type="spellEnd"/>
    <w:r>
      <w:rPr>
        <w:sz w:val="16"/>
      </w:rPr>
      <w:t xml:space="preserve">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724824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38F9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B7C4" w14:textId="77777777" w:rsidR="00E2165C" w:rsidRDefault="00E2165C" w:rsidP="005F2991">
      <w:r>
        <w:separator/>
      </w:r>
    </w:p>
  </w:footnote>
  <w:footnote w:type="continuationSeparator" w:id="0">
    <w:p w14:paraId="5ECC9831" w14:textId="77777777" w:rsidR="00E2165C" w:rsidRDefault="00E2165C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43E8" w14:textId="37C7C41B" w:rsidR="009C0716" w:rsidRPr="00736776" w:rsidRDefault="00736776" w:rsidP="004A297A">
    <w:pPr>
      <w:pStyle w:val="En-tte"/>
      <w:rPr>
        <w:i/>
        <w:iCs/>
        <w:caps/>
        <w:sz w:val="22"/>
        <w:szCs w:val="22"/>
      </w:rPr>
    </w:pPr>
    <w:r w:rsidRPr="00736776">
      <w:rPr>
        <w:i/>
        <w:iCs/>
        <w:cap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76780F3" wp14:editId="1E7A4D2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297A" w:rsidRPr="00736776">
      <w:rPr>
        <w:i/>
        <w:iCs/>
        <w:caps/>
        <w:sz w:val="22"/>
        <w:szCs w:val="22"/>
      </w:rPr>
      <w:t>J8 - Ex. 7b - Bases légales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E6EC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130F6463" wp14:editId="508AED53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DBCE2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004"/>
    <w:multiLevelType w:val="hybridMultilevel"/>
    <w:tmpl w:val="A552DF02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3EFF"/>
    <w:multiLevelType w:val="hybridMultilevel"/>
    <w:tmpl w:val="E5AA548C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70445"/>
    <w:multiLevelType w:val="hybridMultilevel"/>
    <w:tmpl w:val="D3E0E3EE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3764"/>
    <w:multiLevelType w:val="multilevel"/>
    <w:tmpl w:val="76CE315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4297569">
    <w:abstractNumId w:val="2"/>
  </w:num>
  <w:num w:numId="2" w16cid:durableId="905797429">
    <w:abstractNumId w:val="4"/>
  </w:num>
  <w:num w:numId="3" w16cid:durableId="912811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3999438">
    <w:abstractNumId w:val="3"/>
  </w:num>
  <w:num w:numId="5" w16cid:durableId="554120824">
    <w:abstractNumId w:val="1"/>
  </w:num>
  <w:num w:numId="6" w16cid:durableId="123812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56"/>
    <w:rsid w:val="00083C93"/>
    <w:rsid w:val="001072DE"/>
    <w:rsid w:val="00123633"/>
    <w:rsid w:val="00133CBD"/>
    <w:rsid w:val="00155CA6"/>
    <w:rsid w:val="0016636F"/>
    <w:rsid w:val="00193F6D"/>
    <w:rsid w:val="001B1D45"/>
    <w:rsid w:val="001B238D"/>
    <w:rsid w:val="001B330F"/>
    <w:rsid w:val="001B577F"/>
    <w:rsid w:val="001D570F"/>
    <w:rsid w:val="001D5E79"/>
    <w:rsid w:val="001E1FDD"/>
    <w:rsid w:val="001E26EE"/>
    <w:rsid w:val="00245DD9"/>
    <w:rsid w:val="00264270"/>
    <w:rsid w:val="00270746"/>
    <w:rsid w:val="00286492"/>
    <w:rsid w:val="00286FC1"/>
    <w:rsid w:val="00294A80"/>
    <w:rsid w:val="002B047A"/>
    <w:rsid w:val="002B058E"/>
    <w:rsid w:val="002E0518"/>
    <w:rsid w:val="002F5318"/>
    <w:rsid w:val="00310E6A"/>
    <w:rsid w:val="00375F9F"/>
    <w:rsid w:val="003D24E3"/>
    <w:rsid w:val="003F0023"/>
    <w:rsid w:val="003F7F3B"/>
    <w:rsid w:val="00401F04"/>
    <w:rsid w:val="00404253"/>
    <w:rsid w:val="00424A1E"/>
    <w:rsid w:val="00430092"/>
    <w:rsid w:val="004769FD"/>
    <w:rsid w:val="004A1D7C"/>
    <w:rsid w:val="004A297A"/>
    <w:rsid w:val="004D0428"/>
    <w:rsid w:val="004E3770"/>
    <w:rsid w:val="0051561F"/>
    <w:rsid w:val="00575C4A"/>
    <w:rsid w:val="00583326"/>
    <w:rsid w:val="00590B01"/>
    <w:rsid w:val="005E6B3F"/>
    <w:rsid w:val="005F2991"/>
    <w:rsid w:val="00641C5C"/>
    <w:rsid w:val="00661078"/>
    <w:rsid w:val="006A7DE3"/>
    <w:rsid w:val="006B49D5"/>
    <w:rsid w:val="006E0073"/>
    <w:rsid w:val="006E76BF"/>
    <w:rsid w:val="006F0FE4"/>
    <w:rsid w:val="006F4F1E"/>
    <w:rsid w:val="00713AE0"/>
    <w:rsid w:val="00715926"/>
    <w:rsid w:val="00724824"/>
    <w:rsid w:val="007270EF"/>
    <w:rsid w:val="00736776"/>
    <w:rsid w:val="007A6C60"/>
    <w:rsid w:val="007E2578"/>
    <w:rsid w:val="008014E4"/>
    <w:rsid w:val="00832A37"/>
    <w:rsid w:val="00881217"/>
    <w:rsid w:val="009271CF"/>
    <w:rsid w:val="0092761C"/>
    <w:rsid w:val="00927EF3"/>
    <w:rsid w:val="00964F80"/>
    <w:rsid w:val="0098794A"/>
    <w:rsid w:val="009C0716"/>
    <w:rsid w:val="009E705E"/>
    <w:rsid w:val="009F5D44"/>
    <w:rsid w:val="009F70A6"/>
    <w:rsid w:val="00A27D07"/>
    <w:rsid w:val="00A73E68"/>
    <w:rsid w:val="00A80ABE"/>
    <w:rsid w:val="00B04E04"/>
    <w:rsid w:val="00B07ED3"/>
    <w:rsid w:val="00B13F6B"/>
    <w:rsid w:val="00B164E2"/>
    <w:rsid w:val="00B5659A"/>
    <w:rsid w:val="00BE6856"/>
    <w:rsid w:val="00BE6AB7"/>
    <w:rsid w:val="00C013DE"/>
    <w:rsid w:val="00C106DE"/>
    <w:rsid w:val="00C53A6B"/>
    <w:rsid w:val="00CD3C6C"/>
    <w:rsid w:val="00CF51C9"/>
    <w:rsid w:val="00D25FAC"/>
    <w:rsid w:val="00D27076"/>
    <w:rsid w:val="00D314AD"/>
    <w:rsid w:val="00D64FCA"/>
    <w:rsid w:val="00D701AF"/>
    <w:rsid w:val="00D97D08"/>
    <w:rsid w:val="00DC1C81"/>
    <w:rsid w:val="00DD0425"/>
    <w:rsid w:val="00DD4603"/>
    <w:rsid w:val="00DE1434"/>
    <w:rsid w:val="00E2165C"/>
    <w:rsid w:val="00E305F4"/>
    <w:rsid w:val="00EF5935"/>
    <w:rsid w:val="00EF5943"/>
    <w:rsid w:val="00F02905"/>
    <w:rsid w:val="00F3359F"/>
    <w:rsid w:val="00F36E44"/>
    <w:rsid w:val="00F4422A"/>
    <w:rsid w:val="00F730E9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F7886A"/>
  <w15:docId w15:val="{55087B23-D1BB-46CE-AA6D-6A7A1665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701AF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D701AF"/>
  </w:style>
  <w:style w:type="character" w:customStyle="1" w:styleId="AufzhlungZchn">
    <w:name w:val="Aufzählung Zchn"/>
    <w:basedOn w:val="Policepardfaut"/>
    <w:link w:val="Aufzhlung"/>
    <w:rsid w:val="00D701AF"/>
    <w:rPr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F51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51C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51C9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1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1C9"/>
    <w:rPr>
      <w:b/>
      <w:bCs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724824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CD3C6C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7A6C6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C1C81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DC1C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0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1514-C3D1-4D0C-A960-81AB67FA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Augsburger Cyril</cp:lastModifiedBy>
  <cp:revision>17</cp:revision>
  <cp:lastPrinted>2024-11-29T14:56:00Z</cp:lastPrinted>
  <dcterms:created xsi:type="dcterms:W3CDTF">2023-02-14T01:00:00Z</dcterms:created>
  <dcterms:modified xsi:type="dcterms:W3CDTF">2024-12-06T10:41:00Z</dcterms:modified>
</cp:coreProperties>
</file>